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9F712D">
        <w:t>/2334</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AB27C4">
        <w:t>23 marzo 2015</w:t>
      </w:r>
    </w:p>
    <w:p w:rsidR="00254906" w:rsidRPr="00386968" w:rsidRDefault="00254906" w:rsidP="00977E62">
      <w:pPr>
        <w:jc w:val="both"/>
      </w:pPr>
    </w:p>
    <w:p w:rsidR="00197F0F" w:rsidRPr="00197F0F" w:rsidRDefault="00197F0F" w:rsidP="00197F0F">
      <w:pPr>
        <w:autoSpaceDE w:val="0"/>
        <w:autoSpaceDN w:val="0"/>
        <w:adjustRightInd w:val="0"/>
        <w:jc w:val="center"/>
        <w:rPr>
          <w:rFonts w:eastAsia="Calibri"/>
          <w:b/>
          <w:bCs/>
          <w:color w:val="000000"/>
          <w:lang w:eastAsia="en-US"/>
        </w:rPr>
      </w:pPr>
      <w:r w:rsidRPr="00197F0F">
        <w:rPr>
          <w:rFonts w:eastAsia="Calibri"/>
          <w:b/>
          <w:bCs/>
          <w:color w:val="000000"/>
          <w:lang w:eastAsia="en-US"/>
        </w:rPr>
        <w:t>IL DIRIGENTE VICARIO</w:t>
      </w:r>
    </w:p>
    <w:p w:rsidR="00197F0F" w:rsidRPr="00197F0F" w:rsidRDefault="00197F0F" w:rsidP="00197F0F">
      <w:pPr>
        <w:autoSpaceDE w:val="0"/>
        <w:autoSpaceDN w:val="0"/>
        <w:adjustRightInd w:val="0"/>
        <w:jc w:val="both"/>
        <w:rPr>
          <w:rFonts w:eastAsia="Calibri"/>
          <w:b/>
          <w:bCs/>
          <w:color w:val="000000"/>
          <w:lang w:eastAsia="en-US"/>
        </w:rPr>
      </w:pP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10.01.1957, n. 3 e successive modificazioni;</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03.05.1957, n. 686 e successive modificazioni;</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31.05.1974, n. 420, con particolare riferimento all’art. 10 e all’art. 11;</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07.03.1985, n. 588;</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05.06.1985, n. 251;</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22.08.1985, n. 444;</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24.12.1986, n. 958;</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D.L. 02.03.1987, n. 57, convertito dalla Legge 22.04.1987, n. 158;</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7.08.1990, n. 241;</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18.01.1992, n. 16;</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5.02.1992, n. 104 con particolare riguardo ai commi 5 e 7 dell’art.33 a cui si applicano le modifiche apportate dall’art. 24 della Legge 04.11.2010 n. 183;</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 xml:space="preserve">VISTO il </w:t>
      </w:r>
      <w:proofErr w:type="spellStart"/>
      <w:r w:rsidRPr="00197F0F">
        <w:rPr>
          <w:rFonts w:eastAsia="Calibri"/>
          <w:color w:val="000000"/>
          <w:szCs w:val="22"/>
          <w:lang w:eastAsia="en-US"/>
        </w:rPr>
        <w:t>D.Lgs.</w:t>
      </w:r>
      <w:proofErr w:type="spellEnd"/>
      <w:r w:rsidRPr="00197F0F">
        <w:rPr>
          <w:rFonts w:eastAsia="Calibri"/>
          <w:color w:val="000000"/>
          <w:szCs w:val="22"/>
          <w:lang w:eastAsia="en-US"/>
        </w:rPr>
        <w:t xml:space="preserve"> 16.04.1994, n. 297 con particolare riferimento agli artt. 546, 554, 555, 556, 557, 559, 604, 673, 676;</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09.05.1994, n. 487 come modificato dal D.P.R. 30.10.1996, n. 693;</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15.05.1997, n. 127, con particolare riferimento all’art. 3, come modificata e integrata dalla Legge 16.06.1998, n. 191, e il relativo regolamento emanato con D.P.R. 20.10.1998, n. 403;</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13.03.1999 n. 68;</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Legge 03.05.1999, n. 124 con particolare riferimento all’art. 4, comma 11;</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D.M. 23.07.1999 “trasferimento del personale A.T.A. dagli Enti Locali allo Stato”, con particolare riferimento all’art. 4 e all’art.6;</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D.M. 13.12.2000 n. 430, concernente il regolamento per le supplenze del personale A.T.A.;</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D.P.R. 28.12.2000 n. 445, concernente la documentazione amministrativa;</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l’O.M. 23.02.2009, n. 21 e successive integrazioni;</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VISTI il D.M. n. 80 del 15 settembre 2010 di integrazione del citato D.M. 68/10;</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197F0F">
        <w:rPr>
          <w:rFonts w:eastAsia="Calibri"/>
          <w:color w:val="000000"/>
          <w:szCs w:val="22"/>
          <w:lang w:eastAsia="en-US"/>
        </w:rPr>
        <w:t>l’a.s.</w:t>
      </w:r>
      <w:proofErr w:type="spellEnd"/>
      <w:r w:rsidRPr="00197F0F">
        <w:rPr>
          <w:rFonts w:eastAsia="Calibri"/>
          <w:color w:val="000000"/>
          <w:szCs w:val="22"/>
          <w:lang w:eastAsia="en-US"/>
        </w:rPr>
        <w:t xml:space="preserve"> 2011/2012;</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lastRenderedPageBreak/>
        <w:t>VISTO il D.M. 12 ottobre 2011, n. 92 emanato in applicazione del predetto D.L. 70/2011 convertito con Legge 106/2011;</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VISTO il D.M. 10.11.2011, n. 104 concernente la costituzione delle graduatorie di circolo e di istituto di terza fascia per il triennio scolastico 2011/2014;</w:t>
      </w:r>
    </w:p>
    <w:p w:rsidR="00197F0F" w:rsidRP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 xml:space="preserve">VISTA la nota del M.I.U.R. </w:t>
      </w:r>
      <w:proofErr w:type="spellStart"/>
      <w:r w:rsidRPr="00197F0F">
        <w:rPr>
          <w:rFonts w:eastAsia="Calibri"/>
          <w:color w:val="000000"/>
          <w:szCs w:val="22"/>
          <w:lang w:eastAsia="en-US"/>
        </w:rPr>
        <w:t>prot</w:t>
      </w:r>
      <w:proofErr w:type="spellEnd"/>
      <w:r w:rsidRPr="00197F0F">
        <w:rPr>
          <w:rFonts w:eastAsia="Calibri"/>
          <w:color w:val="000000"/>
          <w:szCs w:val="22"/>
          <w:lang w:eastAsia="en-US"/>
        </w:rPr>
        <w:t>. n. 8151 del 13 marzo 2015 con la quale sono state impartite agli UU.SS.RR le istruzioni per l’indizione dei concorsi per soli titoli per l’anno scolastico 2014/2015;</w:t>
      </w:r>
    </w:p>
    <w:p w:rsidR="00197F0F" w:rsidRDefault="00197F0F" w:rsidP="00197F0F">
      <w:pPr>
        <w:autoSpaceDE w:val="0"/>
        <w:autoSpaceDN w:val="0"/>
        <w:adjustRightInd w:val="0"/>
        <w:jc w:val="both"/>
        <w:rPr>
          <w:rFonts w:eastAsia="Calibri"/>
          <w:color w:val="000000"/>
          <w:szCs w:val="22"/>
          <w:lang w:eastAsia="en-US"/>
        </w:rPr>
      </w:pPr>
      <w:r w:rsidRPr="00197F0F">
        <w:rPr>
          <w:rFonts w:eastAsia="Calibri"/>
          <w:color w:val="000000"/>
          <w:szCs w:val="22"/>
          <w:lang w:eastAsia="en-US"/>
        </w:rPr>
        <w:t>INFORMATE le Organizzazioni Sindacali;</w:t>
      </w:r>
    </w:p>
    <w:p w:rsidR="00AB27C4" w:rsidRPr="00197F0F" w:rsidRDefault="00AB27C4" w:rsidP="00197F0F">
      <w:pPr>
        <w:autoSpaceDE w:val="0"/>
        <w:autoSpaceDN w:val="0"/>
        <w:adjustRightInd w:val="0"/>
        <w:jc w:val="both"/>
        <w:rPr>
          <w:rFonts w:eastAsia="Calibri"/>
          <w:color w:val="000000"/>
          <w:szCs w:val="22"/>
          <w:lang w:eastAsia="en-US"/>
        </w:rPr>
      </w:pPr>
    </w:p>
    <w:p w:rsidR="00197F0F" w:rsidRPr="00197F0F" w:rsidRDefault="00197F0F" w:rsidP="00197F0F">
      <w:pPr>
        <w:autoSpaceDE w:val="0"/>
        <w:autoSpaceDN w:val="0"/>
        <w:adjustRightInd w:val="0"/>
        <w:jc w:val="center"/>
        <w:rPr>
          <w:rFonts w:eastAsia="Calibri"/>
          <w:b/>
          <w:bCs/>
          <w:color w:val="000000"/>
          <w:lang w:eastAsia="en-US"/>
        </w:rPr>
      </w:pPr>
      <w:r w:rsidRPr="00197F0F">
        <w:rPr>
          <w:rFonts w:eastAsia="Calibri"/>
          <w:b/>
          <w:bCs/>
          <w:color w:val="000000"/>
          <w:lang w:eastAsia="en-US"/>
        </w:rPr>
        <w:t>DECRETA</w:t>
      </w:r>
    </w:p>
    <w:p w:rsidR="00197F0F" w:rsidRPr="00197F0F" w:rsidRDefault="00197F0F" w:rsidP="00197F0F">
      <w:pPr>
        <w:autoSpaceDE w:val="0"/>
        <w:autoSpaceDN w:val="0"/>
        <w:adjustRightInd w:val="0"/>
        <w:jc w:val="center"/>
        <w:rPr>
          <w:rFonts w:eastAsia="Calibri"/>
          <w:b/>
          <w:bCs/>
          <w:color w:val="000000"/>
          <w:lang w:eastAsia="en-US"/>
        </w:rPr>
      </w:pP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olor w:val="000000"/>
          <w:lang w:eastAsia="en-US"/>
        </w:rPr>
        <w:t>E’ indetto il concorso per soli titoli per l’accesso ai ruoli provinciali e per l’aggiornamento delle graduatorie provinciali permanenti relativamente all’anno scolastico 2014/2015, per il profilo professionale di</w:t>
      </w:r>
    </w:p>
    <w:p w:rsidR="00197F0F" w:rsidRPr="00197F0F" w:rsidRDefault="00197F0F" w:rsidP="00197F0F">
      <w:pPr>
        <w:autoSpaceDE w:val="0"/>
        <w:autoSpaceDN w:val="0"/>
        <w:adjustRightInd w:val="0"/>
        <w:jc w:val="center"/>
        <w:rPr>
          <w:rFonts w:eastAsia="Calibri"/>
          <w:b/>
          <w:bCs/>
          <w:i/>
          <w:iCs/>
          <w:color w:val="000000"/>
          <w:lang w:eastAsia="en-US"/>
        </w:rPr>
      </w:pPr>
      <w:r w:rsidRPr="00197F0F">
        <w:rPr>
          <w:rFonts w:eastAsia="Calibri"/>
          <w:b/>
          <w:bCs/>
          <w:i/>
          <w:iCs/>
          <w:color w:val="000000"/>
          <w:lang w:eastAsia="en-US"/>
        </w:rPr>
        <w:t>ASSISTENTE AMMINISTRATIVO (area B)</w:t>
      </w:r>
    </w:p>
    <w:p w:rsidR="00197F0F" w:rsidRPr="00197F0F" w:rsidRDefault="00197F0F" w:rsidP="00197F0F">
      <w:pPr>
        <w:autoSpaceDE w:val="0"/>
        <w:autoSpaceDN w:val="0"/>
        <w:adjustRightInd w:val="0"/>
        <w:jc w:val="center"/>
        <w:rPr>
          <w:rFonts w:eastAsia="Calibri"/>
          <w:b/>
          <w:bCs/>
          <w:i/>
          <w:iCs/>
          <w:color w:val="000000"/>
          <w:lang w:eastAsia="en-US"/>
        </w:rPr>
      </w:pPr>
      <w:r w:rsidRPr="00197F0F">
        <w:rPr>
          <w:rFonts w:eastAsia="Calibri"/>
          <w:b/>
          <w:bCs/>
          <w:i/>
          <w:iCs/>
          <w:color w:val="000000"/>
          <w:lang w:eastAsia="en-US"/>
        </w:rPr>
        <w:t>nelle province di GORIZIA, PORDENONE, TRIESTE e UDINE</w:t>
      </w:r>
    </w:p>
    <w:p w:rsidR="00197F0F" w:rsidRPr="00197F0F" w:rsidRDefault="00197F0F" w:rsidP="00197F0F">
      <w:pPr>
        <w:autoSpaceDE w:val="0"/>
        <w:autoSpaceDN w:val="0"/>
        <w:adjustRightInd w:val="0"/>
        <w:jc w:val="center"/>
        <w:rPr>
          <w:rFonts w:eastAsia="Calibri"/>
          <w:b/>
          <w:bCs/>
          <w:i/>
          <w:iCs/>
          <w:color w:val="000000"/>
          <w:lang w:eastAsia="en-US"/>
        </w:rPr>
      </w:pP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s="Symbol"/>
          <w:color w:val="000000"/>
          <w:lang w:eastAsia="en-US"/>
        </w:rPr>
        <w:t xml:space="preserve">· </w:t>
      </w:r>
      <w:r w:rsidRPr="00197F0F">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197F0F">
        <w:rPr>
          <w:rFonts w:eastAsia="Calibri"/>
          <w:color w:val="000000"/>
          <w:lang w:eastAsia="en-US"/>
        </w:rPr>
        <w:t>prot</w:t>
      </w:r>
      <w:proofErr w:type="spellEnd"/>
      <w:r w:rsidRPr="00197F0F">
        <w:rPr>
          <w:rFonts w:eastAsia="Calibri"/>
          <w:color w:val="000000"/>
          <w:lang w:eastAsia="en-US"/>
        </w:rPr>
        <w:t>. n. 8151 del 13 marzo 2015 anch’essa citata in premessa.</w:t>
      </w: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s="Symbol"/>
          <w:color w:val="000000"/>
          <w:lang w:eastAsia="en-US"/>
        </w:rPr>
        <w:t xml:space="preserve">· </w:t>
      </w:r>
      <w:r w:rsidRPr="00197F0F">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197F0F">
        <w:rPr>
          <w:rFonts w:eastAsia="Calibri"/>
          <w:b/>
          <w:bCs/>
          <w:lang w:eastAsia="en-US"/>
        </w:rPr>
        <w:t>24 aprile 2015</w:t>
      </w:r>
      <w:r w:rsidRPr="00197F0F">
        <w:rPr>
          <w:rFonts w:eastAsia="Calibri"/>
          <w:color w:val="000000"/>
          <w:lang w:eastAsia="en-US"/>
        </w:rPr>
        <w:t>.</w:t>
      </w: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s="Symbol"/>
          <w:color w:val="000000"/>
          <w:lang w:eastAsia="en-US"/>
        </w:rPr>
        <w:t xml:space="preserve">· </w:t>
      </w:r>
      <w:r w:rsidRPr="00197F0F">
        <w:rPr>
          <w:rFonts w:eastAsia="Calibri"/>
          <w:color w:val="000000"/>
          <w:lang w:eastAsia="en-US"/>
        </w:rPr>
        <w:t>I requisiti di ammissione e i titoli valutabili previsti dalla suddetta O.M. 21/2009, debbono essere posseduti alla medesima data del bando.</w:t>
      </w: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s="Symbol"/>
          <w:color w:val="000000"/>
          <w:lang w:eastAsia="en-US"/>
        </w:rPr>
        <w:t xml:space="preserve">· </w:t>
      </w:r>
      <w:r w:rsidRPr="00197F0F">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197F0F" w:rsidRPr="00197F0F" w:rsidRDefault="00197F0F" w:rsidP="00197F0F">
      <w:pPr>
        <w:autoSpaceDE w:val="0"/>
        <w:autoSpaceDN w:val="0"/>
        <w:adjustRightInd w:val="0"/>
        <w:jc w:val="both"/>
        <w:rPr>
          <w:rFonts w:eastAsia="Calibri"/>
          <w:color w:val="000000"/>
          <w:lang w:eastAsia="en-US"/>
        </w:rPr>
      </w:pPr>
    </w:p>
    <w:p w:rsidR="00197F0F" w:rsidRPr="00197F0F" w:rsidRDefault="00197F0F" w:rsidP="00197F0F">
      <w:pPr>
        <w:autoSpaceDE w:val="0"/>
        <w:autoSpaceDN w:val="0"/>
        <w:adjustRightInd w:val="0"/>
        <w:jc w:val="both"/>
        <w:rPr>
          <w:rFonts w:eastAsia="Calibri"/>
          <w:color w:val="000000"/>
          <w:lang w:eastAsia="en-US"/>
        </w:rPr>
      </w:pP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Pr="00197F0F">
        <w:rPr>
          <w:rFonts w:eastAsia="Calibri"/>
          <w:color w:val="000000"/>
          <w:lang w:eastAsia="en-US"/>
        </w:rPr>
        <w:tab/>
      </w:r>
      <w:r w:rsidR="00337B1F">
        <w:rPr>
          <w:rFonts w:eastAsia="Calibri"/>
          <w:color w:val="000000"/>
          <w:lang w:eastAsia="en-US"/>
        </w:rPr>
        <w:t xml:space="preserve">f.to </w:t>
      </w:r>
      <w:bookmarkStart w:id="0" w:name="_GoBack"/>
      <w:bookmarkEnd w:id="0"/>
      <w:r w:rsidRPr="00197F0F">
        <w:rPr>
          <w:rFonts w:eastAsia="Calibri"/>
          <w:color w:val="000000"/>
          <w:lang w:eastAsia="en-US"/>
        </w:rPr>
        <w:t>Il Dirigente vicario</w:t>
      </w:r>
    </w:p>
    <w:p w:rsidR="00197F0F" w:rsidRPr="00197F0F" w:rsidRDefault="00197F0F" w:rsidP="00197F0F">
      <w:pPr>
        <w:autoSpaceDE w:val="0"/>
        <w:autoSpaceDN w:val="0"/>
        <w:adjustRightInd w:val="0"/>
        <w:jc w:val="both"/>
        <w:rPr>
          <w:rFonts w:eastAsia="Calibri"/>
          <w:szCs w:val="22"/>
          <w:lang w:eastAsia="en-US"/>
        </w:rPr>
      </w:pPr>
      <w:r w:rsidRPr="00197F0F">
        <w:rPr>
          <w:rFonts w:eastAsia="Calibri"/>
          <w:color w:val="000000"/>
          <w:lang w:eastAsia="en-US"/>
        </w:rPr>
        <w:t xml:space="preserve">                                                                                                          dott. Pietro Biasiol</w:t>
      </w:r>
    </w:p>
    <w:p w:rsidR="006B68D8" w:rsidRPr="00386968" w:rsidRDefault="006B68D8" w:rsidP="00197F0F">
      <w:pPr>
        <w:jc w:val="both"/>
      </w:pPr>
    </w:p>
    <w:sectPr w:rsidR="006B68D8" w:rsidRPr="00386968" w:rsidSect="00487C97">
      <w:headerReference w:type="even" r:id="rId9"/>
      <w:headerReference w:type="default" r:id="rId10"/>
      <w:footerReference w:type="even" r:id="rId11"/>
      <w:footerReference w:type="default" r:id="rId12"/>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261" w:rsidRDefault="00963261">
      <w:r>
        <w:separator/>
      </w:r>
    </w:p>
  </w:endnote>
  <w:endnote w:type="continuationSeparator" w:id="0">
    <w:p w:rsidR="00963261" w:rsidRDefault="0096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37B1F">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261" w:rsidRDefault="00963261">
      <w:r>
        <w:separator/>
      </w:r>
    </w:p>
  </w:footnote>
  <w:footnote w:type="continuationSeparator" w:id="0">
    <w:p w:rsidR="00963261" w:rsidRDefault="00963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197F0F" w:rsidP="00487C97">
    <w:pPr>
      <w:ind w:left="360"/>
      <w:jc w:val="center"/>
    </w:pPr>
    <w:r>
      <w:rPr>
        <w:noProof/>
      </w:rPr>
      <w:drawing>
        <wp:inline distT="0" distB="0" distL="0" distR="0">
          <wp:extent cx="360680" cy="406400"/>
          <wp:effectExtent l="0" t="0" r="127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680" cy="406400"/>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337B1F">
      <w:trPr>
        <w:trHeight w:val="781"/>
      </w:trPr>
      <w:tc>
        <w:tcPr>
          <w:tcW w:w="1908" w:type="dxa"/>
        </w:tcPr>
        <w:p w:rsidR="00AE3100" w:rsidRDefault="00197F0F" w:rsidP="00487C97">
          <w:pPr>
            <w:pStyle w:val="Intestazione"/>
            <w:jc w:val="right"/>
            <w:rPr>
              <w:i/>
              <w:sz w:val="28"/>
              <w:szCs w:val="28"/>
            </w:rPr>
          </w:pPr>
          <w:r>
            <w:rPr>
              <w:noProof/>
            </w:rPr>
            <w:drawing>
              <wp:inline distT="0" distB="0" distL="0" distR="0">
                <wp:extent cx="421640" cy="396240"/>
                <wp:effectExtent l="0" t="0" r="0" b="3810"/>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1640" cy="396240"/>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oNotDisplayPageBoundaries/>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F0F"/>
    <w:rsid w:val="00063A74"/>
    <w:rsid w:val="00087774"/>
    <w:rsid w:val="00096D6A"/>
    <w:rsid w:val="000B71BB"/>
    <w:rsid w:val="000B78D3"/>
    <w:rsid w:val="000D6F2D"/>
    <w:rsid w:val="000E4F53"/>
    <w:rsid w:val="000F0D88"/>
    <w:rsid w:val="0010100B"/>
    <w:rsid w:val="0014204A"/>
    <w:rsid w:val="0014252F"/>
    <w:rsid w:val="00176C55"/>
    <w:rsid w:val="00187C83"/>
    <w:rsid w:val="00191FF3"/>
    <w:rsid w:val="001977D6"/>
    <w:rsid w:val="00197F0F"/>
    <w:rsid w:val="001B50DB"/>
    <w:rsid w:val="001B7DEA"/>
    <w:rsid w:val="0020262F"/>
    <w:rsid w:val="00205254"/>
    <w:rsid w:val="0022260B"/>
    <w:rsid w:val="0024320B"/>
    <w:rsid w:val="00245C77"/>
    <w:rsid w:val="00254906"/>
    <w:rsid w:val="00261698"/>
    <w:rsid w:val="00270295"/>
    <w:rsid w:val="0027442A"/>
    <w:rsid w:val="00293327"/>
    <w:rsid w:val="00295724"/>
    <w:rsid w:val="002C0D32"/>
    <w:rsid w:val="00310F1B"/>
    <w:rsid w:val="00321E96"/>
    <w:rsid w:val="00337B1F"/>
    <w:rsid w:val="00340CA1"/>
    <w:rsid w:val="00356D7E"/>
    <w:rsid w:val="00357450"/>
    <w:rsid w:val="00366950"/>
    <w:rsid w:val="003844C2"/>
    <w:rsid w:val="00386968"/>
    <w:rsid w:val="003966B7"/>
    <w:rsid w:val="003C1598"/>
    <w:rsid w:val="003C6344"/>
    <w:rsid w:val="00412B5D"/>
    <w:rsid w:val="00425955"/>
    <w:rsid w:val="00426715"/>
    <w:rsid w:val="00432892"/>
    <w:rsid w:val="00445A3F"/>
    <w:rsid w:val="00445CE6"/>
    <w:rsid w:val="00487C97"/>
    <w:rsid w:val="004906AC"/>
    <w:rsid w:val="004A07CA"/>
    <w:rsid w:val="004A40C7"/>
    <w:rsid w:val="005266EB"/>
    <w:rsid w:val="00545247"/>
    <w:rsid w:val="0054548D"/>
    <w:rsid w:val="005943A4"/>
    <w:rsid w:val="005E1C26"/>
    <w:rsid w:val="00610137"/>
    <w:rsid w:val="00626CCE"/>
    <w:rsid w:val="00634357"/>
    <w:rsid w:val="00647346"/>
    <w:rsid w:val="0064773E"/>
    <w:rsid w:val="00650359"/>
    <w:rsid w:val="006B68D8"/>
    <w:rsid w:val="006C7FB7"/>
    <w:rsid w:val="006D5F5E"/>
    <w:rsid w:val="00703D65"/>
    <w:rsid w:val="007051E3"/>
    <w:rsid w:val="00714CFA"/>
    <w:rsid w:val="00717FD1"/>
    <w:rsid w:val="0073506C"/>
    <w:rsid w:val="00741812"/>
    <w:rsid w:val="00745E72"/>
    <w:rsid w:val="00746852"/>
    <w:rsid w:val="007574CE"/>
    <w:rsid w:val="00760709"/>
    <w:rsid w:val="00763835"/>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E2A67"/>
    <w:rsid w:val="00914960"/>
    <w:rsid w:val="0091688B"/>
    <w:rsid w:val="00920545"/>
    <w:rsid w:val="00963261"/>
    <w:rsid w:val="00977E62"/>
    <w:rsid w:val="00984A3E"/>
    <w:rsid w:val="009A1F18"/>
    <w:rsid w:val="009C5587"/>
    <w:rsid w:val="009E3D54"/>
    <w:rsid w:val="009F2F1A"/>
    <w:rsid w:val="009F712D"/>
    <w:rsid w:val="00A033A5"/>
    <w:rsid w:val="00A200AC"/>
    <w:rsid w:val="00A24221"/>
    <w:rsid w:val="00A43AC1"/>
    <w:rsid w:val="00A44432"/>
    <w:rsid w:val="00A66C3D"/>
    <w:rsid w:val="00A73929"/>
    <w:rsid w:val="00A76EA7"/>
    <w:rsid w:val="00A831CD"/>
    <w:rsid w:val="00A96926"/>
    <w:rsid w:val="00AA7498"/>
    <w:rsid w:val="00AB27C4"/>
    <w:rsid w:val="00AD1796"/>
    <w:rsid w:val="00AE3100"/>
    <w:rsid w:val="00AE34CA"/>
    <w:rsid w:val="00AF5DE7"/>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D04EDA"/>
    <w:rsid w:val="00D10BC8"/>
    <w:rsid w:val="00D16EFF"/>
    <w:rsid w:val="00D17218"/>
    <w:rsid w:val="00D37462"/>
    <w:rsid w:val="00D4757C"/>
    <w:rsid w:val="00D91887"/>
    <w:rsid w:val="00D94470"/>
    <w:rsid w:val="00DB7B2E"/>
    <w:rsid w:val="00DC17C8"/>
    <w:rsid w:val="00DD5BFE"/>
    <w:rsid w:val="00DF0B01"/>
    <w:rsid w:val="00E06936"/>
    <w:rsid w:val="00E13A4E"/>
    <w:rsid w:val="00E20F58"/>
    <w:rsid w:val="00E813E5"/>
    <w:rsid w:val="00E83B68"/>
    <w:rsid w:val="00EC41B9"/>
    <w:rsid w:val="00EE3138"/>
    <w:rsid w:val="00EF6248"/>
    <w:rsid w:val="00F10A05"/>
    <w:rsid w:val="00F20966"/>
    <w:rsid w:val="00F247F5"/>
    <w:rsid w:val="00F24C3C"/>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AB27C4"/>
    <w:rPr>
      <w:rFonts w:ascii="Tahoma" w:hAnsi="Tahoma" w:cs="Tahoma"/>
      <w:sz w:val="16"/>
      <w:szCs w:val="16"/>
    </w:rPr>
  </w:style>
  <w:style w:type="character" w:customStyle="1" w:styleId="TestofumettoCarattere">
    <w:name w:val="Testo fumetto Carattere"/>
    <w:basedOn w:val="Carpredefinitoparagrafo"/>
    <w:link w:val="Testofumetto"/>
    <w:rsid w:val="00AB27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AB27C4"/>
    <w:rPr>
      <w:rFonts w:ascii="Tahoma" w:hAnsi="Tahoma" w:cs="Tahoma"/>
      <w:sz w:val="16"/>
      <w:szCs w:val="16"/>
    </w:rPr>
  </w:style>
  <w:style w:type="character" w:customStyle="1" w:styleId="TestofumettoCarattere">
    <w:name w:val="Testo fumetto Carattere"/>
    <w:basedOn w:val="Carpredefinitoparagrafo"/>
    <w:link w:val="Testofumetto"/>
    <w:rsid w:val="00AB27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230A0-140A-48F6-A388-8BB410960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2011 con PEC USR.dot</Template>
  <TotalTime>2</TotalTime>
  <Pages>3</Pages>
  <Words>958</Words>
  <Characters>5466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6412</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4</cp:revision>
  <cp:lastPrinted>2007-07-11T21:07:00Z</cp:lastPrinted>
  <dcterms:created xsi:type="dcterms:W3CDTF">2015-03-23T08:41:00Z</dcterms:created>
  <dcterms:modified xsi:type="dcterms:W3CDTF">2015-03-24T10:05:00Z</dcterms:modified>
</cp:coreProperties>
</file>